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Times New Roman" w:eastAsia="方正小标宋_GBK"/>
          <w:b/>
          <w:color w:val="FF0000"/>
          <w:sz w:val="72"/>
          <w:szCs w:val="100"/>
        </w:rPr>
      </w:pPr>
      <w:r>
        <w:rPr>
          <w:rFonts w:hint="eastAsia" w:ascii="方正小标宋_GBK" w:hAnsi="Times New Roman" w:eastAsia="方正小标宋_GBK"/>
          <w:b/>
          <w:color w:val="FF0000"/>
          <w:sz w:val="72"/>
          <w:szCs w:val="100"/>
        </w:rPr>
        <mc:AlternateContent>
          <mc:Choice Requires="wps">
            <w:drawing>
              <wp:anchor distT="0" distB="0" distL="114300" distR="114300" simplePos="0" relativeHeight="251659264" behindDoc="0" locked="0" layoutInCell="1" allowOverlap="1">
                <wp:simplePos x="0" y="0"/>
                <wp:positionH relativeFrom="column">
                  <wp:posOffset>96520</wp:posOffset>
                </wp:positionH>
                <wp:positionV relativeFrom="paragraph">
                  <wp:posOffset>753745</wp:posOffset>
                </wp:positionV>
                <wp:extent cx="542925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5429250"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6pt;margin-top:59.35pt;height:0pt;width:427.5pt;z-index:251659264;mso-width-relative:page;mso-height-relative:page;" filled="f" stroked="t" coordsize="21600,21600" o:gfxdata="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QPaaD1gAAAAoBAAAPAAAAAAAAAAEAIAAAACIAAABkcnMvZG93&#10;bnJldi54bWxQSwECFAAUAAAACACHTuJAMl2sOskBAABkAwAADgAAAAAAAAABACAAAAAlAQAAZHJz&#10;L2Uyb0RvYy54bWxQSwUGAAAAAAYABgBZAQAAYAUAAAAA&#10;">
                <v:fill on="f" focussize="0,0"/>
                <v:stroke weight="1.75pt" color="#FF0000 [3204]" miterlimit="8" joinstyle="miter"/>
                <v:imagedata o:title=""/>
                <o:lock v:ext="edit" aspectratio="f"/>
              </v:line>
            </w:pict>
          </mc:Fallback>
        </mc:AlternateContent>
      </w:r>
      <w:r>
        <w:rPr>
          <w:rFonts w:hint="eastAsia" w:ascii="方正小标宋_GBK" w:hAnsi="Times New Roman" w:eastAsia="方正小标宋_GBK"/>
          <w:b/>
          <w:color w:val="FF0000"/>
          <w:sz w:val="72"/>
          <w:szCs w:val="100"/>
        </w:rPr>
        <w:t>江苏省洪泽湖渔业协会</w:t>
      </w:r>
    </w:p>
    <w:p>
      <w:pPr>
        <w:spacing w:line="760" w:lineRule="exact"/>
        <w:jc w:val="center"/>
        <w:rPr>
          <w:rFonts w:ascii="华文中宋" w:hAnsi="华文中宋" w:eastAsia="华文中宋"/>
          <w:sz w:val="44"/>
          <w:szCs w:val="44"/>
        </w:rPr>
      </w:pPr>
    </w:p>
    <w:p>
      <w:pPr>
        <w:spacing w:line="760" w:lineRule="exact"/>
        <w:jc w:val="center"/>
        <w:rPr>
          <w:rFonts w:ascii="华文中宋" w:hAnsi="华文中宋" w:eastAsia="华文中宋"/>
          <w:sz w:val="44"/>
          <w:szCs w:val="44"/>
        </w:rPr>
      </w:pPr>
      <w:r>
        <w:rPr>
          <w:rFonts w:hint="eastAsia" w:ascii="华文中宋" w:hAnsi="华文中宋" w:eastAsia="华文中宋"/>
          <w:sz w:val="44"/>
          <w:szCs w:val="44"/>
        </w:rPr>
        <w:t>关于开展洪泽湖渔业产业创新发展评奖</w:t>
      </w:r>
    </w:p>
    <w:p>
      <w:pPr>
        <w:spacing w:line="760" w:lineRule="exact"/>
        <w:jc w:val="center"/>
        <w:rPr>
          <w:rFonts w:ascii="华文中宋" w:hAnsi="华文中宋" w:eastAsia="华文中宋"/>
          <w:sz w:val="44"/>
          <w:szCs w:val="44"/>
        </w:rPr>
      </w:pPr>
      <w:r>
        <w:rPr>
          <w:rFonts w:hint="eastAsia" w:ascii="华文中宋" w:hAnsi="华文中宋" w:eastAsia="华文中宋"/>
          <w:sz w:val="44"/>
          <w:szCs w:val="44"/>
        </w:rPr>
        <w:t>活动的通知</w:t>
      </w:r>
    </w:p>
    <w:p>
      <w:pPr>
        <w:ind w:firstLine="640" w:firstLineChars="200"/>
        <w:rPr>
          <w:rFonts w:ascii="华文仿宋" w:hAnsi="华文仿宋" w:eastAsia="华文仿宋"/>
          <w:sz w:val="32"/>
          <w:szCs w:val="32"/>
        </w:rPr>
      </w:pPr>
    </w:p>
    <w:p>
      <w:pPr>
        <w:rPr>
          <w:rFonts w:hint="eastAsia" w:ascii="仿宋_GB2312" w:hAnsi="华文仿宋" w:eastAsia="仿宋_GB2312"/>
          <w:sz w:val="32"/>
          <w:szCs w:val="32"/>
        </w:rPr>
      </w:pPr>
      <w:r>
        <w:rPr>
          <w:rFonts w:hint="eastAsia" w:ascii="仿宋_GB2312" w:hAnsi="华文仿宋" w:eastAsia="仿宋_GB2312"/>
          <w:sz w:val="32"/>
          <w:szCs w:val="32"/>
        </w:rPr>
        <w:t>各有关单位：</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为促进洪泽湖渔业品牌建设，推进渔业高质量发展，广泛宣传洪泽湖优秀渔业企业，鼓励为洪泽湖渔业产业发展做出贡献的渔业单位，洪泽湖渔业品牌建设领导小组决定开展洪泽湖渔业产业创新发展评奖活动，并对获奖单位进行宣传、推广及项目对接支持，现将有关事项通知如下：</w:t>
      </w:r>
    </w:p>
    <w:p>
      <w:pPr>
        <w:numPr>
          <w:ilvl w:val="0"/>
          <w:numId w:val="1"/>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奖项设置</w:t>
      </w:r>
    </w:p>
    <w:p>
      <w:pPr>
        <w:numPr>
          <w:ilvl w:val="255"/>
          <w:numId w:val="0"/>
        </w:num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本次活动拟设置四个奖项，分别从品牌宣介、电商运营、渔业服务、产品出口等方面综合考虑。</w:t>
      </w:r>
    </w:p>
    <w:p>
      <w:pPr>
        <w:spacing w:line="560" w:lineRule="exact"/>
        <w:ind w:firstLine="643" w:firstLineChars="200"/>
        <w:rPr>
          <w:rFonts w:hint="eastAsia" w:ascii="仿宋_GB2312" w:hAnsi="华文仿宋" w:eastAsia="仿宋_GB2312"/>
          <w:sz w:val="32"/>
          <w:szCs w:val="32"/>
        </w:rPr>
      </w:pPr>
      <w:r>
        <w:rPr>
          <w:rFonts w:hint="eastAsia" w:ascii="楷体" w:hAnsi="楷体" w:eastAsia="楷体"/>
          <w:b/>
          <w:sz w:val="32"/>
          <w:szCs w:val="32"/>
        </w:rPr>
        <w:t>1.品牌宣介先进单位：</w:t>
      </w:r>
      <w:r>
        <w:rPr>
          <w:rFonts w:hint="eastAsia" w:ascii="仿宋_GB2312" w:hAnsi="华文仿宋" w:eastAsia="仿宋_GB2312"/>
          <w:sz w:val="32"/>
          <w:szCs w:val="32"/>
        </w:rPr>
        <w:t>授予洪泽湖区域公用品牌授权使用单位，积极参加国内外展会、交易会等活动，主动对外宣传推介洪泽湖区域公用品牌，形成一定影响力的单位。</w:t>
      </w:r>
    </w:p>
    <w:p>
      <w:pPr>
        <w:spacing w:line="560" w:lineRule="exact"/>
        <w:ind w:firstLine="643" w:firstLineChars="200"/>
        <w:rPr>
          <w:rFonts w:hint="eastAsia" w:ascii="仿宋_GB2312" w:hAnsi="华文仿宋" w:eastAsia="仿宋_GB2312"/>
          <w:sz w:val="32"/>
          <w:szCs w:val="32"/>
        </w:rPr>
      </w:pPr>
      <w:r>
        <w:rPr>
          <w:rFonts w:hint="eastAsia" w:ascii="楷体" w:hAnsi="楷体" w:eastAsia="楷体"/>
          <w:b/>
          <w:sz w:val="32"/>
          <w:szCs w:val="32"/>
        </w:rPr>
        <w:t>2.电商运营优秀单位：</w:t>
      </w:r>
      <w:r>
        <w:rPr>
          <w:rFonts w:hint="eastAsia" w:ascii="仿宋_GB2312" w:hAnsi="华文仿宋" w:eastAsia="仿宋_GB2312"/>
          <w:sz w:val="32"/>
          <w:szCs w:val="32"/>
        </w:rPr>
        <w:t>授予遵守国家法律、法规、规章，具备一年以上的经营年限，主动宣传、使用洪泽湖区域公用品牌，具有可观的电商业绩，对洪泽湖渔业电商发展起到示范作用的单位。</w:t>
      </w:r>
    </w:p>
    <w:p>
      <w:pPr>
        <w:spacing w:line="560" w:lineRule="exact"/>
        <w:ind w:firstLine="643" w:firstLineChars="200"/>
        <w:rPr>
          <w:rFonts w:hint="eastAsia" w:ascii="仿宋_GB2312" w:hAnsi="华文仿宋" w:eastAsia="仿宋_GB2312"/>
          <w:sz w:val="32"/>
          <w:szCs w:val="32"/>
        </w:rPr>
      </w:pPr>
      <w:r>
        <w:rPr>
          <w:rFonts w:hint="eastAsia" w:ascii="楷体" w:hAnsi="楷体" w:eastAsia="楷体"/>
          <w:b/>
          <w:sz w:val="32"/>
          <w:szCs w:val="32"/>
        </w:rPr>
        <w:t>3.渔业服务先进单位：</w:t>
      </w:r>
      <w:r>
        <w:rPr>
          <w:rFonts w:hint="eastAsia" w:ascii="仿宋_GB2312" w:hAnsi="华文仿宋" w:eastAsia="仿宋_GB2312"/>
          <w:sz w:val="32"/>
          <w:szCs w:val="32"/>
        </w:rPr>
        <w:t>授予服务渔企、渔民，为渔业生产提供相关物资配套、市场信息、养殖技术、鱼病防治、出口经贸等服务，形成一定社会影响力，对渔业发展起到推动促进作用的单位。</w:t>
      </w:r>
    </w:p>
    <w:p>
      <w:pPr>
        <w:spacing w:line="560" w:lineRule="exact"/>
        <w:ind w:firstLine="643" w:firstLineChars="200"/>
        <w:rPr>
          <w:rFonts w:ascii="仿宋_GB2312" w:hAnsi="华文仿宋" w:eastAsia="仿宋_GB2312"/>
          <w:sz w:val="32"/>
          <w:szCs w:val="32"/>
        </w:rPr>
      </w:pPr>
      <w:r>
        <w:rPr>
          <w:rFonts w:hint="eastAsia" w:ascii="楷体" w:hAnsi="楷体" w:eastAsia="楷体"/>
          <w:b/>
          <w:sz w:val="32"/>
          <w:szCs w:val="32"/>
        </w:rPr>
        <w:t>4.</w:t>
      </w:r>
      <w:r>
        <w:rPr>
          <w:rFonts w:hint="eastAsia" w:ascii="楷体" w:hAnsi="楷体" w:eastAsia="楷体"/>
          <w:b/>
          <w:sz w:val="32"/>
          <w:szCs w:val="32"/>
          <w:lang w:val="en-US" w:eastAsia="zh-CN"/>
        </w:rPr>
        <w:t>渔业</w:t>
      </w:r>
      <w:r>
        <w:rPr>
          <w:rFonts w:hint="eastAsia" w:ascii="楷体" w:hAnsi="楷体" w:eastAsia="楷体"/>
          <w:b/>
          <w:sz w:val="32"/>
          <w:szCs w:val="32"/>
        </w:rPr>
        <w:t>出口先进</w:t>
      </w:r>
      <w:r>
        <w:rPr>
          <w:rFonts w:hint="eastAsia" w:ascii="楷体" w:hAnsi="楷体" w:eastAsia="楷体"/>
          <w:b/>
          <w:sz w:val="32"/>
          <w:szCs w:val="32"/>
          <w:lang w:val="en-US" w:eastAsia="zh-CN"/>
        </w:rPr>
        <w:t>单位</w:t>
      </w:r>
      <w:bookmarkStart w:id="0" w:name="_GoBack"/>
      <w:bookmarkEnd w:id="0"/>
      <w:r>
        <w:rPr>
          <w:rFonts w:hint="eastAsia" w:ascii="楷体" w:hAnsi="楷体" w:eastAsia="楷体"/>
          <w:b/>
          <w:sz w:val="32"/>
          <w:szCs w:val="32"/>
        </w:rPr>
        <w:t>：</w:t>
      </w:r>
      <w:r>
        <w:rPr>
          <w:rFonts w:hint="eastAsia" w:ascii="仿宋_GB2312" w:hAnsi="华文仿宋" w:eastAsia="仿宋_GB2312"/>
          <w:sz w:val="32"/>
          <w:szCs w:val="32"/>
        </w:rPr>
        <w:t>授予具备水产品出口资质，主动宣传、使用洪泽湖区域公用品牌，有自主企业品牌、可观的水产出口业绩，形成一定社会影响力的单位。</w:t>
      </w:r>
    </w:p>
    <w:p>
      <w:pPr>
        <w:spacing w:line="56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二、申报范围</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洪泽湖周边渔业企业及与洪泽湖渔业相关联的单位均可申报以上奖项。</w:t>
      </w:r>
    </w:p>
    <w:p>
      <w:pPr>
        <w:spacing w:line="56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三、申报要求</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1.申报奖项的单位，最多可申报以上两个奖项；</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2.申报单位需取得相应生产资质、经营许可证及监管部门批准文件；无负面信息报道、质量安全事故，有稳定的销售渠道和较强的品牌推介能力；</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3.申报的奖项所要求提供的依据，必须具有公信力、可信度，并提供相关佐证。</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四、评审组织</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1.邀请相关专家组成评审委员会</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2.评委会由5-7位评委组成；</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3.按照“客观、公正、公平、公开”的原则，评委会对申报项目进行集中评审，形成评审意见；</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4. 品牌建设领导小组确认评审结果，颁发获奖证书。</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五、提交材料要求</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1.申报单位按要求填写附件申报表，并加盖单位公章；</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2.提供单位营业执照、注册商标、相关资质证明、经营许可证、相关认证书等证明材料以及相关荣誉证书的复印件；</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3.申报资料要求：申报资料需提供纸质版和电子版，内容要一致，否则视为无效。</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4.纸质版材料需要按要求加盖公章，电子版材料无须盖章，纸质资料统一A4规格装订后快递至评奖工作秘书处，电子版发送至jshzhyy@126.com，邮件主题需注明申报单位名称及申报奖项名称；</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5.申报资料于2024年1月1</w:t>
      </w:r>
      <w:r>
        <w:rPr>
          <w:rFonts w:ascii="仿宋_GB2312" w:hAnsi="华文仿宋" w:eastAsia="仿宋_GB2312"/>
          <w:sz w:val="32"/>
          <w:szCs w:val="32"/>
        </w:rPr>
        <w:t>0</w:t>
      </w:r>
      <w:r>
        <w:rPr>
          <w:rFonts w:hint="eastAsia" w:ascii="仿宋_GB2312" w:hAnsi="华文仿宋" w:eastAsia="仿宋_GB2312"/>
          <w:sz w:val="32"/>
          <w:szCs w:val="32"/>
        </w:rPr>
        <w:t>日前，报送品牌建设领导小组评奖工作秘书处。请申报单位严格按照规定时间进行申报，逾期不予受理。表格下载地址：www.hzhyy.org通知公告栏或洪泽湖渔业微信公众号。</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六、宣传推广及管理</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1.专题设置颁奖仪式，邀请有关领导向获奖单位颁发获奖证书；</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2.颁奖仪式邀请媒体进行宣传报道；</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3.获奖结果在洪泽湖渔业官网、公众号及相关媒体上公布；</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4.获奖项目将作为参展单位的主要名片，对外宣传推介、洽谈合作、项目招引的主要依据。</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5.洪泽湖渔业微信公众号对获奖项目进行系列宣传报道；</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6.如发现有弄虚作假、不良社会影响等情况，品牌建设领导小组将注销其奖项称号，并向社会公告。</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七、其他</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1.参加单位自愿参加评奖活动，活动不收取任何费用；</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2.联系方式：评奖工作组联系人：朱忠；</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手机号：13805233932； 电话：051781565898  84989377；</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邮箱：</w:t>
      </w:r>
      <w:r>
        <w:fldChar w:fldCharType="begin"/>
      </w:r>
      <w:r>
        <w:instrText xml:space="preserve"> HYPERLINK "mailto:jshzhyy@126.com" </w:instrText>
      </w:r>
      <w:r>
        <w:fldChar w:fldCharType="separate"/>
      </w:r>
      <w:r>
        <w:rPr>
          <w:rStyle w:val="5"/>
          <w:rFonts w:hint="eastAsia" w:ascii="仿宋_GB2312" w:hAnsi="华文仿宋" w:eastAsia="仿宋_GB2312"/>
          <w:sz w:val="32"/>
          <w:szCs w:val="32"/>
        </w:rPr>
        <w:t>jshzhyy@126.com</w:t>
      </w:r>
      <w:r>
        <w:rPr>
          <w:rStyle w:val="5"/>
          <w:rFonts w:hint="eastAsia" w:ascii="仿宋_GB2312" w:hAnsi="华文仿宋" w:eastAsia="仿宋_GB2312"/>
          <w:sz w:val="32"/>
          <w:szCs w:val="32"/>
        </w:rPr>
        <w:fldChar w:fldCharType="end"/>
      </w:r>
      <w:r>
        <w:rPr>
          <w:rFonts w:hint="eastAsia" w:ascii="仿宋_GB2312" w:hAnsi="华文仿宋" w:eastAsia="仿宋_GB2312"/>
          <w:sz w:val="32"/>
          <w:szCs w:val="32"/>
        </w:rPr>
        <w:t>；</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邮寄地址：淮安市淮阴区黄河东路11号。</w:t>
      </w:r>
    </w:p>
    <w:p>
      <w:pPr>
        <w:spacing w:line="560" w:lineRule="exact"/>
        <w:ind w:firstLine="640" w:firstLineChars="200"/>
        <w:rPr>
          <w:rFonts w:hint="eastAsia" w:ascii="仿宋_GB2312" w:hAnsi="华文仿宋" w:eastAsia="仿宋_GB2312"/>
          <w:sz w:val="32"/>
          <w:szCs w:val="32"/>
        </w:rPr>
      </w:pP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附件：洪泽湖渔业产业创新发展评奖活动参评申报表(点击下方阅读原文下载)</w:t>
      </w:r>
    </w:p>
    <w:p>
      <w:pPr>
        <w:spacing w:line="560" w:lineRule="exact"/>
        <w:ind w:firstLine="640" w:firstLineChars="200"/>
        <w:rPr>
          <w:rFonts w:hint="eastAsia" w:ascii="仿宋_GB2312" w:hAnsi="华文仿宋" w:eastAsia="仿宋_GB2312"/>
          <w:sz w:val="32"/>
          <w:szCs w:val="32"/>
        </w:rPr>
      </w:pP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 xml:space="preserve">  </w:t>
      </w:r>
    </w:p>
    <w:p>
      <w:pPr>
        <w:spacing w:line="560" w:lineRule="exact"/>
        <w:ind w:firstLine="2560" w:firstLineChars="800"/>
        <w:rPr>
          <w:rFonts w:hint="eastAsia" w:ascii="仿宋_GB2312" w:hAnsi="华文仿宋" w:eastAsia="仿宋_GB2312"/>
          <w:sz w:val="32"/>
          <w:szCs w:val="32"/>
        </w:rPr>
      </w:pPr>
      <w:r>
        <w:rPr>
          <w:rFonts w:hint="eastAsia" w:ascii="仿宋_GB2312" w:hAnsi="华文仿宋" w:eastAsia="仿宋_GB2312"/>
          <w:sz w:val="32"/>
          <w:szCs w:val="32"/>
        </w:rPr>
        <w:t>省洪泽湖渔业品牌建设领导小组（代章）</w:t>
      </w:r>
    </w:p>
    <w:p>
      <w:pPr>
        <w:spacing w:line="560" w:lineRule="exact"/>
        <w:ind w:firstLine="4960" w:firstLineChars="1550"/>
        <w:rPr>
          <w:rFonts w:hint="eastAsia" w:ascii="仿宋_GB2312" w:hAnsi="华文仿宋" w:eastAsia="仿宋_GB2312"/>
          <w:sz w:val="32"/>
          <w:szCs w:val="32"/>
        </w:rPr>
      </w:pPr>
      <w:r>
        <w:rPr>
          <w:rFonts w:hint="eastAsia" w:ascii="仿宋_GB2312" w:hAnsi="华文仿宋" w:eastAsia="仿宋_GB2312"/>
          <w:sz w:val="32"/>
          <w:szCs w:val="32"/>
        </w:rPr>
        <w:t>2023年12月25日</w:t>
      </w:r>
    </w:p>
    <w:p>
      <w:pPr>
        <w:ind w:firstLine="640" w:firstLineChars="200"/>
        <w:rPr>
          <w:rFonts w:ascii="华文仿宋" w:hAnsi="华文仿宋" w:eastAsia="华文仿宋"/>
          <w:sz w:val="32"/>
          <w:szCs w:val="32"/>
        </w:rPr>
      </w:pPr>
    </w:p>
    <w:p>
      <w:pPr>
        <w:ind w:firstLine="640" w:firstLineChars="200"/>
        <w:rPr>
          <w:rFonts w:ascii="华文仿宋" w:hAnsi="华文仿宋" w:eastAsia="华文仿宋"/>
          <w:sz w:val="32"/>
          <w:szCs w:val="32"/>
        </w:rPr>
      </w:pPr>
    </w:p>
    <w:p>
      <w:pPr>
        <w:ind w:firstLine="640" w:firstLineChars="200"/>
        <w:rPr>
          <w:rFonts w:ascii="华文仿宋" w:hAnsi="华文仿宋" w:eastAsia="华文仿宋"/>
          <w:sz w:val="32"/>
          <w:szCs w:val="32"/>
        </w:rPr>
      </w:pPr>
    </w:p>
    <w:p>
      <w:pPr>
        <w:rPr>
          <w:rFonts w:ascii="华文仿宋" w:hAnsi="华文仿宋" w:eastAsia="华文仿宋"/>
          <w:sz w:val="32"/>
          <w:szCs w:val="32"/>
        </w:rPr>
      </w:pPr>
    </w:p>
    <w:p>
      <w:pPr>
        <w:rPr>
          <w:rFonts w:hint="eastAsia" w:ascii="华文仿宋" w:hAnsi="华文仿宋" w:eastAsia="华文仿宋"/>
          <w:sz w:val="32"/>
          <w:szCs w:val="32"/>
        </w:rPr>
      </w:pPr>
    </w:p>
    <w:p>
      <w:pPr>
        <w:jc w:val="center"/>
        <w:rPr>
          <w:rFonts w:ascii="方正小标宋简体" w:hAnsi="华文仿宋" w:eastAsia="方正小标宋简体"/>
          <w:sz w:val="36"/>
          <w:szCs w:val="36"/>
        </w:rPr>
      </w:pPr>
      <w:r>
        <w:rPr>
          <w:rFonts w:hint="eastAsia" w:ascii="方正小标宋简体" w:hAnsi="华文仿宋" w:eastAsia="方正小标宋简体"/>
          <w:sz w:val="36"/>
          <w:szCs w:val="36"/>
        </w:rPr>
        <w:t>洪泽湖渔业产业创新发展评奖活动参评申报表</w:t>
      </w:r>
    </w:p>
    <w:p>
      <w:pPr>
        <w:pStyle w:val="2"/>
        <w:spacing w:before="0" w:beforeAutospacing="0" w:after="0" w:afterAutospacing="0" w:line="384" w:lineRule="atLeast"/>
        <w:rPr>
          <w:rFonts w:hint="eastAsia"/>
        </w:rPr>
      </w:pPr>
    </w:p>
    <w:tbl>
      <w:tblPr>
        <w:tblStyle w:val="3"/>
        <w:tblW w:w="8565" w:type="dxa"/>
        <w:jc w:val="center"/>
        <w:tblInd w:w="0" w:type="dxa"/>
        <w:tblLayout w:type="fixed"/>
        <w:tblCellMar>
          <w:top w:w="0" w:type="dxa"/>
          <w:left w:w="0" w:type="dxa"/>
          <w:bottom w:w="0" w:type="dxa"/>
          <w:right w:w="0" w:type="dxa"/>
        </w:tblCellMar>
      </w:tblPr>
      <w:tblGrid>
        <w:gridCol w:w="2287"/>
        <w:gridCol w:w="2007"/>
        <w:gridCol w:w="1512"/>
        <w:gridCol w:w="851"/>
        <w:gridCol w:w="1908"/>
      </w:tblGrid>
      <w:tr>
        <w:tblPrEx>
          <w:tblLayout w:type="fixed"/>
          <w:tblCellMar>
            <w:top w:w="0" w:type="dxa"/>
            <w:left w:w="0" w:type="dxa"/>
            <w:bottom w:w="0" w:type="dxa"/>
            <w:right w:w="0" w:type="dxa"/>
          </w:tblCellMar>
        </w:tblPrEx>
        <w:trPr>
          <w:trHeight w:val="384" w:hRule="atLeast"/>
          <w:jc w:val="center"/>
        </w:trPr>
        <w:tc>
          <w:tcPr>
            <w:tcW w:w="228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2"/>
              <w:spacing w:before="0" w:beforeAutospacing="0" w:after="0" w:afterAutospacing="0"/>
              <w:jc w:val="center"/>
              <w:rPr>
                <w:kern w:val="2"/>
              </w:rPr>
            </w:pPr>
            <w:r>
              <w:rPr>
                <w:rFonts w:hint="eastAsia" w:ascii="仿宋" w:hAnsi="仿宋" w:eastAsia="仿宋"/>
                <w:color w:val="000000"/>
                <w:kern w:val="2"/>
                <w:sz w:val="27"/>
              </w:rPr>
              <w:t>申报单位</w:t>
            </w:r>
          </w:p>
        </w:tc>
        <w:tc>
          <w:tcPr>
            <w:tcW w:w="6278" w:type="dxa"/>
            <w:gridSpan w:val="4"/>
            <w:tcBorders>
              <w:top w:val="single" w:color="auto" w:sz="6" w:space="0"/>
              <w:left w:val="nil"/>
              <w:bottom w:val="single" w:color="auto" w:sz="6" w:space="0"/>
              <w:right w:val="single" w:color="000000" w:sz="6" w:space="0"/>
            </w:tcBorders>
            <w:tcMar>
              <w:top w:w="0" w:type="dxa"/>
              <w:left w:w="105" w:type="dxa"/>
              <w:bottom w:w="0" w:type="dxa"/>
              <w:right w:w="105" w:type="dxa"/>
            </w:tcMar>
            <w:vAlign w:val="center"/>
          </w:tcPr>
          <w:p>
            <w:pPr>
              <w:wordWrap w:val="0"/>
              <w:jc w:val="left"/>
            </w:pPr>
            <w:r>
              <w:rPr>
                <w:rFonts w:hint="eastAsia"/>
              </w:rPr>
              <w:t xml:space="preserve"> </w:t>
            </w:r>
          </w:p>
        </w:tc>
      </w:tr>
      <w:tr>
        <w:tblPrEx>
          <w:tblLayout w:type="fixed"/>
          <w:tblCellMar>
            <w:top w:w="0" w:type="dxa"/>
            <w:left w:w="0" w:type="dxa"/>
            <w:bottom w:w="0" w:type="dxa"/>
            <w:right w:w="0" w:type="dxa"/>
          </w:tblCellMar>
        </w:tblPrEx>
        <w:trPr>
          <w:trHeight w:val="384" w:hRule="atLeast"/>
          <w:jc w:val="center"/>
        </w:trPr>
        <w:tc>
          <w:tcPr>
            <w:tcW w:w="228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2"/>
              <w:wordWrap w:val="0"/>
              <w:spacing w:before="0" w:beforeAutospacing="0" w:after="0" w:afterAutospacing="0"/>
              <w:jc w:val="center"/>
              <w:rPr>
                <w:kern w:val="2"/>
              </w:rPr>
            </w:pPr>
            <w:r>
              <w:rPr>
                <w:rFonts w:hint="eastAsia" w:ascii="仿宋" w:hAnsi="仿宋" w:eastAsia="仿宋"/>
                <w:color w:val="000000"/>
                <w:kern w:val="2"/>
                <w:sz w:val="27"/>
              </w:rPr>
              <w:t>申报奖项</w:t>
            </w:r>
          </w:p>
        </w:tc>
        <w:tc>
          <w:tcPr>
            <w:tcW w:w="6278" w:type="dxa"/>
            <w:gridSpan w:val="4"/>
            <w:tcBorders>
              <w:top w:val="nil"/>
              <w:left w:val="nil"/>
              <w:bottom w:val="single" w:color="auto" w:sz="6" w:space="0"/>
              <w:right w:val="single" w:color="000000" w:sz="6" w:space="0"/>
            </w:tcBorders>
            <w:tcMar>
              <w:top w:w="0" w:type="dxa"/>
              <w:left w:w="105" w:type="dxa"/>
              <w:bottom w:w="0" w:type="dxa"/>
              <w:right w:w="105" w:type="dxa"/>
            </w:tcMar>
            <w:vAlign w:val="center"/>
          </w:tcPr>
          <w:p>
            <w:pPr>
              <w:wordWrap w:val="0"/>
              <w:jc w:val="left"/>
            </w:pPr>
            <w:r>
              <w:rPr>
                <w:rFonts w:hint="eastAsia"/>
              </w:rPr>
              <w:t xml:space="preserve"> </w:t>
            </w:r>
          </w:p>
        </w:tc>
      </w:tr>
      <w:tr>
        <w:tblPrEx>
          <w:tblLayout w:type="fixed"/>
          <w:tblCellMar>
            <w:top w:w="0" w:type="dxa"/>
            <w:left w:w="0" w:type="dxa"/>
            <w:bottom w:w="0" w:type="dxa"/>
            <w:right w:w="0" w:type="dxa"/>
          </w:tblCellMar>
        </w:tblPrEx>
        <w:trPr>
          <w:trHeight w:val="384" w:hRule="atLeast"/>
          <w:jc w:val="center"/>
        </w:trPr>
        <w:tc>
          <w:tcPr>
            <w:tcW w:w="228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2"/>
              <w:wordWrap w:val="0"/>
              <w:spacing w:before="0" w:beforeAutospacing="0" w:after="0" w:afterAutospacing="0"/>
              <w:jc w:val="center"/>
              <w:rPr>
                <w:kern w:val="2"/>
              </w:rPr>
            </w:pPr>
            <w:r>
              <w:rPr>
                <w:rFonts w:hint="eastAsia" w:ascii="仿宋" w:hAnsi="仿宋" w:eastAsia="仿宋"/>
                <w:color w:val="000000"/>
                <w:kern w:val="2"/>
                <w:sz w:val="27"/>
              </w:rPr>
              <w:t>单位法人</w:t>
            </w:r>
          </w:p>
        </w:tc>
        <w:tc>
          <w:tcPr>
            <w:tcW w:w="2007" w:type="dxa"/>
            <w:tcBorders>
              <w:top w:val="nil"/>
              <w:left w:val="nil"/>
              <w:bottom w:val="single" w:color="auto" w:sz="6" w:space="0"/>
              <w:right w:val="single" w:color="000000" w:sz="6" w:space="0"/>
            </w:tcBorders>
            <w:tcMar>
              <w:top w:w="0" w:type="dxa"/>
              <w:left w:w="105" w:type="dxa"/>
              <w:bottom w:w="0" w:type="dxa"/>
              <w:right w:w="105" w:type="dxa"/>
            </w:tcMar>
            <w:vAlign w:val="center"/>
          </w:tcPr>
          <w:p>
            <w:pPr>
              <w:wordWrap w:val="0"/>
              <w:jc w:val="left"/>
            </w:pPr>
            <w:r>
              <w:rPr>
                <w:rFonts w:hint="eastAsia"/>
              </w:rPr>
              <w:t xml:space="preserve"> </w:t>
            </w:r>
          </w:p>
        </w:tc>
        <w:tc>
          <w:tcPr>
            <w:tcW w:w="1512" w:type="dxa"/>
            <w:tcBorders>
              <w:top w:val="nil"/>
              <w:left w:val="nil"/>
              <w:bottom w:val="single" w:color="auto" w:sz="6" w:space="0"/>
              <w:right w:val="nil"/>
            </w:tcBorders>
            <w:tcMar>
              <w:top w:w="0" w:type="dxa"/>
              <w:left w:w="105" w:type="dxa"/>
              <w:bottom w:w="0" w:type="dxa"/>
              <w:right w:w="105" w:type="dxa"/>
            </w:tcMar>
            <w:vAlign w:val="center"/>
          </w:tcPr>
          <w:p>
            <w:pPr>
              <w:pStyle w:val="2"/>
              <w:wordWrap w:val="0"/>
              <w:spacing w:before="0" w:beforeAutospacing="0" w:after="0" w:afterAutospacing="0"/>
              <w:jc w:val="center"/>
              <w:rPr>
                <w:kern w:val="2"/>
              </w:rPr>
            </w:pPr>
            <w:r>
              <w:rPr>
                <w:rFonts w:hint="eastAsia" w:ascii="仿宋" w:hAnsi="仿宋" w:eastAsia="仿宋"/>
                <w:color w:val="000000"/>
                <w:kern w:val="2"/>
                <w:sz w:val="27"/>
              </w:rPr>
              <w:t>手机</w:t>
            </w:r>
          </w:p>
        </w:tc>
        <w:tc>
          <w:tcPr>
            <w:tcW w:w="2759" w:type="dxa"/>
            <w:gridSpan w:val="2"/>
            <w:tcBorders>
              <w:top w:val="nil"/>
              <w:left w:val="single" w:color="auto" w:sz="6" w:space="0"/>
              <w:bottom w:val="single" w:color="auto" w:sz="6" w:space="0"/>
              <w:right w:val="single" w:color="000000" w:sz="6" w:space="0"/>
            </w:tcBorders>
            <w:tcMar>
              <w:top w:w="0" w:type="dxa"/>
              <w:left w:w="105" w:type="dxa"/>
              <w:bottom w:w="0" w:type="dxa"/>
              <w:right w:w="105" w:type="dxa"/>
            </w:tcMar>
            <w:vAlign w:val="center"/>
          </w:tcPr>
          <w:p>
            <w:pPr>
              <w:wordWrap w:val="0"/>
              <w:jc w:val="left"/>
            </w:pPr>
            <w:r>
              <w:rPr>
                <w:rFonts w:hint="eastAsia"/>
              </w:rPr>
              <w:t xml:space="preserve"> </w:t>
            </w:r>
          </w:p>
        </w:tc>
      </w:tr>
      <w:tr>
        <w:tblPrEx>
          <w:tblLayout w:type="fixed"/>
          <w:tblCellMar>
            <w:top w:w="0" w:type="dxa"/>
            <w:left w:w="0" w:type="dxa"/>
            <w:bottom w:w="0" w:type="dxa"/>
            <w:right w:w="0" w:type="dxa"/>
          </w:tblCellMar>
        </w:tblPrEx>
        <w:trPr>
          <w:trHeight w:val="576" w:hRule="atLeast"/>
          <w:jc w:val="center"/>
        </w:trPr>
        <w:tc>
          <w:tcPr>
            <w:tcW w:w="228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2"/>
              <w:wordWrap w:val="0"/>
              <w:spacing w:before="0" w:beforeAutospacing="0" w:after="0" w:afterAutospacing="0"/>
              <w:jc w:val="center"/>
              <w:rPr>
                <w:kern w:val="2"/>
              </w:rPr>
            </w:pPr>
            <w:r>
              <w:rPr>
                <w:rFonts w:hint="eastAsia" w:ascii="仿宋" w:hAnsi="仿宋" w:eastAsia="仿宋"/>
                <w:color w:val="000000"/>
                <w:kern w:val="2"/>
                <w:sz w:val="27"/>
              </w:rPr>
              <w:t>注册商标</w:t>
            </w:r>
          </w:p>
        </w:tc>
        <w:tc>
          <w:tcPr>
            <w:tcW w:w="2007" w:type="dxa"/>
            <w:tcBorders>
              <w:top w:val="nil"/>
              <w:left w:val="nil"/>
              <w:bottom w:val="single" w:color="auto" w:sz="6" w:space="0"/>
              <w:right w:val="single" w:color="000000" w:sz="6" w:space="0"/>
            </w:tcBorders>
            <w:tcMar>
              <w:top w:w="0" w:type="dxa"/>
              <w:left w:w="105" w:type="dxa"/>
              <w:bottom w:w="0" w:type="dxa"/>
              <w:right w:w="105" w:type="dxa"/>
            </w:tcMar>
            <w:vAlign w:val="center"/>
          </w:tcPr>
          <w:p>
            <w:pPr>
              <w:pStyle w:val="2"/>
              <w:wordWrap w:val="0"/>
              <w:spacing w:before="0" w:beforeAutospacing="0" w:after="0" w:afterAutospacing="0"/>
              <w:jc w:val="center"/>
              <w:rPr>
                <w:kern w:val="2"/>
              </w:rPr>
            </w:pPr>
            <w:r>
              <w:rPr>
                <w:rFonts w:hint="eastAsia" w:ascii="仿宋" w:hAnsi="仿宋" w:eastAsia="仿宋"/>
                <w:color w:val="000000"/>
                <w:kern w:val="2"/>
                <w:sz w:val="27"/>
              </w:rPr>
              <w:t>有（） 无（）</w:t>
            </w:r>
          </w:p>
        </w:tc>
        <w:tc>
          <w:tcPr>
            <w:tcW w:w="1512" w:type="dxa"/>
            <w:tcBorders>
              <w:top w:val="nil"/>
              <w:left w:val="nil"/>
              <w:bottom w:val="single" w:color="auto" w:sz="6" w:space="0"/>
              <w:right w:val="nil"/>
            </w:tcBorders>
            <w:tcMar>
              <w:top w:w="0" w:type="dxa"/>
              <w:left w:w="105" w:type="dxa"/>
              <w:bottom w:w="0" w:type="dxa"/>
              <w:right w:w="105" w:type="dxa"/>
            </w:tcMar>
            <w:vAlign w:val="center"/>
          </w:tcPr>
          <w:p>
            <w:pPr>
              <w:pStyle w:val="2"/>
              <w:wordWrap w:val="0"/>
              <w:spacing w:before="0" w:beforeAutospacing="0" w:after="0" w:afterAutospacing="0"/>
              <w:jc w:val="center"/>
              <w:rPr>
                <w:kern w:val="2"/>
              </w:rPr>
            </w:pPr>
            <w:r>
              <w:rPr>
                <w:rFonts w:hint="eastAsia" w:ascii="仿宋" w:hAnsi="仿宋" w:eastAsia="仿宋"/>
                <w:color w:val="000000"/>
                <w:kern w:val="2"/>
                <w:sz w:val="27"/>
              </w:rPr>
              <w:t>商标名称</w:t>
            </w:r>
          </w:p>
        </w:tc>
        <w:tc>
          <w:tcPr>
            <w:tcW w:w="2759" w:type="dxa"/>
            <w:gridSpan w:val="2"/>
            <w:tcBorders>
              <w:top w:val="nil"/>
              <w:left w:val="single" w:color="auto" w:sz="6" w:space="0"/>
              <w:bottom w:val="single" w:color="auto" w:sz="6" w:space="0"/>
              <w:right w:val="single" w:color="000000" w:sz="6" w:space="0"/>
            </w:tcBorders>
            <w:tcMar>
              <w:top w:w="0" w:type="dxa"/>
              <w:left w:w="105" w:type="dxa"/>
              <w:bottom w:w="0" w:type="dxa"/>
              <w:right w:w="105" w:type="dxa"/>
            </w:tcMar>
            <w:vAlign w:val="center"/>
          </w:tcPr>
          <w:p>
            <w:pPr>
              <w:wordWrap w:val="0"/>
              <w:jc w:val="left"/>
            </w:pPr>
          </w:p>
        </w:tc>
      </w:tr>
      <w:tr>
        <w:tblPrEx>
          <w:tblLayout w:type="fixed"/>
          <w:tblCellMar>
            <w:top w:w="0" w:type="dxa"/>
            <w:left w:w="0" w:type="dxa"/>
            <w:bottom w:w="0" w:type="dxa"/>
            <w:right w:w="0" w:type="dxa"/>
          </w:tblCellMar>
        </w:tblPrEx>
        <w:trPr>
          <w:trHeight w:val="384" w:hRule="atLeast"/>
          <w:jc w:val="center"/>
        </w:trPr>
        <w:tc>
          <w:tcPr>
            <w:tcW w:w="228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2"/>
              <w:wordWrap w:val="0"/>
              <w:spacing w:before="0" w:beforeAutospacing="0" w:after="0" w:afterAutospacing="0"/>
              <w:jc w:val="center"/>
              <w:rPr>
                <w:kern w:val="2"/>
              </w:rPr>
            </w:pPr>
            <w:r>
              <w:rPr>
                <w:rFonts w:hint="eastAsia" w:ascii="仿宋" w:hAnsi="仿宋" w:eastAsia="仿宋"/>
                <w:color w:val="000000"/>
                <w:kern w:val="2"/>
                <w:sz w:val="27"/>
              </w:rPr>
              <w:t>通讯地址</w:t>
            </w:r>
          </w:p>
        </w:tc>
        <w:tc>
          <w:tcPr>
            <w:tcW w:w="3519" w:type="dxa"/>
            <w:gridSpan w:val="2"/>
            <w:tcBorders>
              <w:top w:val="nil"/>
              <w:left w:val="nil"/>
              <w:bottom w:val="single" w:color="auto" w:sz="6" w:space="0"/>
              <w:right w:val="single" w:color="000000" w:sz="6" w:space="0"/>
            </w:tcBorders>
            <w:tcMar>
              <w:top w:w="0" w:type="dxa"/>
              <w:left w:w="105" w:type="dxa"/>
              <w:bottom w:w="0" w:type="dxa"/>
              <w:right w:w="105" w:type="dxa"/>
            </w:tcMar>
            <w:vAlign w:val="center"/>
          </w:tcPr>
          <w:p>
            <w:pPr>
              <w:wordWrap w:val="0"/>
              <w:jc w:val="left"/>
            </w:pPr>
            <w:r>
              <w:rPr>
                <w:rFonts w:hint="eastAsia"/>
              </w:rPr>
              <w:t xml:space="preserve"> </w:t>
            </w:r>
          </w:p>
        </w:tc>
        <w:tc>
          <w:tcPr>
            <w:tcW w:w="851"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2"/>
              <w:wordWrap w:val="0"/>
              <w:spacing w:before="0" w:beforeAutospacing="0" w:after="0" w:afterAutospacing="0"/>
              <w:jc w:val="center"/>
              <w:rPr>
                <w:kern w:val="2"/>
              </w:rPr>
            </w:pPr>
            <w:r>
              <w:rPr>
                <w:rFonts w:hint="eastAsia" w:ascii="仿宋" w:hAnsi="仿宋" w:eastAsia="仿宋"/>
                <w:color w:val="000000"/>
                <w:kern w:val="2"/>
                <w:sz w:val="27"/>
              </w:rPr>
              <w:t>邮编</w:t>
            </w:r>
          </w:p>
        </w:tc>
        <w:tc>
          <w:tcPr>
            <w:tcW w:w="1908" w:type="dxa"/>
            <w:tcBorders>
              <w:top w:val="nil"/>
              <w:left w:val="nil"/>
              <w:bottom w:val="single" w:color="auto" w:sz="6" w:space="0"/>
              <w:right w:val="single" w:color="auto" w:sz="6" w:space="0"/>
            </w:tcBorders>
            <w:tcMar>
              <w:top w:w="0" w:type="dxa"/>
              <w:left w:w="105" w:type="dxa"/>
              <w:bottom w:w="0" w:type="dxa"/>
              <w:right w:w="105" w:type="dxa"/>
            </w:tcMar>
            <w:vAlign w:val="center"/>
          </w:tcPr>
          <w:p>
            <w:pPr>
              <w:wordWrap w:val="0"/>
              <w:jc w:val="left"/>
            </w:pPr>
            <w:r>
              <w:rPr>
                <w:rFonts w:hint="eastAsia"/>
              </w:rPr>
              <w:t xml:space="preserve"> </w:t>
            </w:r>
          </w:p>
        </w:tc>
      </w:tr>
      <w:tr>
        <w:tblPrEx>
          <w:tblLayout w:type="fixed"/>
          <w:tblCellMar>
            <w:top w:w="0" w:type="dxa"/>
            <w:left w:w="0" w:type="dxa"/>
            <w:bottom w:w="0" w:type="dxa"/>
            <w:right w:w="0" w:type="dxa"/>
          </w:tblCellMar>
        </w:tblPrEx>
        <w:trPr>
          <w:trHeight w:val="384" w:hRule="atLeast"/>
          <w:jc w:val="center"/>
        </w:trPr>
        <w:tc>
          <w:tcPr>
            <w:tcW w:w="228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2"/>
              <w:wordWrap w:val="0"/>
              <w:spacing w:before="0" w:beforeAutospacing="0" w:after="0" w:afterAutospacing="0"/>
              <w:jc w:val="center"/>
              <w:rPr>
                <w:kern w:val="2"/>
              </w:rPr>
            </w:pPr>
            <w:r>
              <w:rPr>
                <w:rFonts w:hint="eastAsia" w:ascii="仿宋" w:hAnsi="仿宋" w:eastAsia="仿宋"/>
                <w:color w:val="000000"/>
                <w:kern w:val="2"/>
                <w:sz w:val="27"/>
              </w:rPr>
              <w:t>联系人</w:t>
            </w:r>
          </w:p>
        </w:tc>
        <w:tc>
          <w:tcPr>
            <w:tcW w:w="2007" w:type="dxa"/>
            <w:tcBorders>
              <w:top w:val="nil"/>
              <w:left w:val="nil"/>
              <w:bottom w:val="single" w:color="auto" w:sz="6" w:space="0"/>
              <w:right w:val="single" w:color="000000" w:sz="6" w:space="0"/>
            </w:tcBorders>
            <w:tcMar>
              <w:top w:w="0" w:type="dxa"/>
              <w:left w:w="105" w:type="dxa"/>
              <w:bottom w:w="0" w:type="dxa"/>
              <w:right w:w="105" w:type="dxa"/>
            </w:tcMar>
            <w:vAlign w:val="center"/>
          </w:tcPr>
          <w:p>
            <w:pPr>
              <w:wordWrap w:val="0"/>
              <w:jc w:val="left"/>
            </w:pPr>
            <w:r>
              <w:rPr>
                <w:rFonts w:hint="eastAsia"/>
              </w:rPr>
              <w:t xml:space="preserve"> </w:t>
            </w:r>
          </w:p>
        </w:tc>
        <w:tc>
          <w:tcPr>
            <w:tcW w:w="1512"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2"/>
              <w:wordWrap w:val="0"/>
              <w:spacing w:before="0" w:beforeAutospacing="0" w:after="0" w:afterAutospacing="0"/>
              <w:jc w:val="center"/>
              <w:rPr>
                <w:kern w:val="2"/>
              </w:rPr>
            </w:pPr>
            <w:r>
              <w:rPr>
                <w:rFonts w:hint="eastAsia" w:ascii="仿宋" w:hAnsi="仿宋" w:eastAsia="仿宋"/>
                <w:color w:val="000000"/>
                <w:kern w:val="2"/>
                <w:sz w:val="27"/>
              </w:rPr>
              <w:t>手机</w:t>
            </w:r>
          </w:p>
        </w:tc>
        <w:tc>
          <w:tcPr>
            <w:tcW w:w="2759" w:type="dxa"/>
            <w:gridSpan w:val="2"/>
            <w:tcBorders>
              <w:top w:val="nil"/>
              <w:left w:val="nil"/>
              <w:bottom w:val="single" w:color="auto" w:sz="6" w:space="0"/>
              <w:right w:val="single" w:color="000000" w:sz="6" w:space="0"/>
            </w:tcBorders>
            <w:tcMar>
              <w:top w:w="0" w:type="dxa"/>
              <w:left w:w="105" w:type="dxa"/>
              <w:bottom w:w="0" w:type="dxa"/>
              <w:right w:w="105" w:type="dxa"/>
            </w:tcMar>
            <w:vAlign w:val="center"/>
          </w:tcPr>
          <w:p>
            <w:pPr>
              <w:wordWrap w:val="0"/>
              <w:jc w:val="left"/>
            </w:pPr>
            <w:r>
              <w:rPr>
                <w:rFonts w:hint="eastAsia"/>
              </w:rPr>
              <w:t xml:space="preserve"> </w:t>
            </w:r>
          </w:p>
        </w:tc>
      </w:tr>
      <w:tr>
        <w:tblPrEx>
          <w:tblLayout w:type="fixed"/>
          <w:tblCellMar>
            <w:top w:w="0" w:type="dxa"/>
            <w:left w:w="0" w:type="dxa"/>
            <w:bottom w:w="0" w:type="dxa"/>
            <w:right w:w="0" w:type="dxa"/>
          </w:tblCellMar>
        </w:tblPrEx>
        <w:trPr>
          <w:trHeight w:val="384" w:hRule="atLeast"/>
          <w:jc w:val="center"/>
        </w:trPr>
        <w:tc>
          <w:tcPr>
            <w:tcW w:w="228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2"/>
              <w:wordWrap w:val="0"/>
              <w:spacing w:before="0" w:beforeAutospacing="0" w:after="0" w:afterAutospacing="0"/>
              <w:jc w:val="center"/>
              <w:rPr>
                <w:kern w:val="2"/>
              </w:rPr>
            </w:pPr>
            <w:r>
              <w:rPr>
                <w:rFonts w:hint="eastAsia" w:ascii="仿宋" w:hAnsi="仿宋" w:eastAsia="仿宋"/>
                <w:color w:val="000000"/>
                <w:kern w:val="2"/>
                <w:sz w:val="27"/>
              </w:rPr>
              <w:t>传真</w:t>
            </w:r>
          </w:p>
        </w:tc>
        <w:tc>
          <w:tcPr>
            <w:tcW w:w="2007" w:type="dxa"/>
            <w:tcBorders>
              <w:top w:val="nil"/>
              <w:left w:val="nil"/>
              <w:bottom w:val="single" w:color="auto" w:sz="6" w:space="0"/>
              <w:right w:val="single" w:color="000000" w:sz="6" w:space="0"/>
            </w:tcBorders>
            <w:tcMar>
              <w:top w:w="0" w:type="dxa"/>
              <w:left w:w="105" w:type="dxa"/>
              <w:bottom w:w="0" w:type="dxa"/>
              <w:right w:w="105" w:type="dxa"/>
            </w:tcMar>
            <w:vAlign w:val="center"/>
          </w:tcPr>
          <w:p>
            <w:pPr>
              <w:wordWrap w:val="0"/>
              <w:jc w:val="left"/>
            </w:pPr>
            <w:r>
              <w:rPr>
                <w:rFonts w:hint="eastAsia"/>
              </w:rPr>
              <w:t xml:space="preserve"> </w:t>
            </w:r>
          </w:p>
        </w:tc>
        <w:tc>
          <w:tcPr>
            <w:tcW w:w="1512"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2"/>
              <w:wordWrap w:val="0"/>
              <w:spacing w:before="0" w:beforeAutospacing="0" w:after="0" w:afterAutospacing="0"/>
              <w:jc w:val="center"/>
              <w:rPr>
                <w:kern w:val="2"/>
              </w:rPr>
            </w:pPr>
            <w:r>
              <w:rPr>
                <w:rFonts w:hint="eastAsia" w:ascii="仿宋" w:hAnsi="仿宋" w:eastAsia="仿宋"/>
                <w:color w:val="000000"/>
                <w:kern w:val="2"/>
                <w:sz w:val="27"/>
              </w:rPr>
              <w:t>E-mail</w:t>
            </w:r>
          </w:p>
        </w:tc>
        <w:tc>
          <w:tcPr>
            <w:tcW w:w="2759" w:type="dxa"/>
            <w:gridSpan w:val="2"/>
            <w:tcBorders>
              <w:top w:val="nil"/>
              <w:left w:val="nil"/>
              <w:bottom w:val="single" w:color="auto" w:sz="6" w:space="0"/>
              <w:right w:val="single" w:color="000000" w:sz="6" w:space="0"/>
            </w:tcBorders>
            <w:tcMar>
              <w:top w:w="0" w:type="dxa"/>
              <w:left w:w="105" w:type="dxa"/>
              <w:bottom w:w="0" w:type="dxa"/>
              <w:right w:w="105" w:type="dxa"/>
            </w:tcMar>
            <w:vAlign w:val="center"/>
          </w:tcPr>
          <w:p>
            <w:pPr>
              <w:wordWrap w:val="0"/>
              <w:jc w:val="left"/>
            </w:pPr>
          </w:p>
        </w:tc>
      </w:tr>
      <w:tr>
        <w:tblPrEx>
          <w:tblLayout w:type="fixed"/>
          <w:tblCellMar>
            <w:top w:w="0" w:type="dxa"/>
            <w:left w:w="0" w:type="dxa"/>
            <w:bottom w:w="0" w:type="dxa"/>
            <w:right w:w="0" w:type="dxa"/>
          </w:tblCellMar>
        </w:tblPrEx>
        <w:trPr>
          <w:trHeight w:val="829" w:hRule="atLeast"/>
          <w:jc w:val="center"/>
        </w:trPr>
        <w:tc>
          <w:tcPr>
            <w:tcW w:w="2287" w:type="dxa"/>
            <w:tcBorders>
              <w:top w:val="nil"/>
              <w:left w:val="single" w:color="auto" w:sz="6" w:space="0"/>
              <w:bottom w:val="nil"/>
              <w:right w:val="single" w:color="000000" w:sz="6" w:space="0"/>
            </w:tcBorders>
            <w:tcMar>
              <w:top w:w="0" w:type="dxa"/>
              <w:left w:w="105" w:type="dxa"/>
              <w:bottom w:w="0" w:type="dxa"/>
              <w:right w:w="105" w:type="dxa"/>
            </w:tcMar>
            <w:vAlign w:val="center"/>
          </w:tcPr>
          <w:p>
            <w:pPr>
              <w:pStyle w:val="2"/>
              <w:wordWrap w:val="0"/>
              <w:spacing w:before="0" w:beforeAutospacing="0" w:after="0" w:afterAutospacing="0"/>
              <w:jc w:val="center"/>
              <w:rPr>
                <w:kern w:val="2"/>
              </w:rPr>
            </w:pPr>
            <w:r>
              <w:rPr>
                <w:rFonts w:hint="eastAsia" w:ascii="仿宋" w:hAnsi="仿宋" w:eastAsia="仿宋"/>
                <w:color w:val="000000"/>
                <w:kern w:val="2"/>
                <w:sz w:val="27"/>
              </w:rPr>
              <w:t>曾经获得的奖项</w:t>
            </w:r>
          </w:p>
        </w:tc>
        <w:tc>
          <w:tcPr>
            <w:tcW w:w="6278" w:type="dxa"/>
            <w:gridSpan w:val="4"/>
            <w:tcBorders>
              <w:top w:val="nil"/>
              <w:left w:val="nil"/>
              <w:bottom w:val="nil"/>
              <w:right w:val="single" w:color="000000" w:sz="6" w:space="0"/>
            </w:tcBorders>
            <w:tcMar>
              <w:top w:w="0" w:type="dxa"/>
              <w:left w:w="105" w:type="dxa"/>
              <w:bottom w:w="0" w:type="dxa"/>
              <w:right w:w="105" w:type="dxa"/>
            </w:tcMar>
            <w:vAlign w:val="center"/>
          </w:tcPr>
          <w:p>
            <w:pPr>
              <w:wordWrap w:val="0"/>
              <w:jc w:val="left"/>
            </w:pPr>
            <w:r>
              <w:rPr>
                <w:rFonts w:hint="eastAsia"/>
              </w:rPr>
              <w:t xml:space="preserve"> </w:t>
            </w:r>
          </w:p>
        </w:tc>
      </w:tr>
      <w:tr>
        <w:tblPrEx>
          <w:tblLayout w:type="fixed"/>
          <w:tblCellMar>
            <w:top w:w="0" w:type="dxa"/>
            <w:left w:w="0" w:type="dxa"/>
            <w:bottom w:w="0" w:type="dxa"/>
            <w:right w:w="0" w:type="dxa"/>
          </w:tblCellMar>
        </w:tblPrEx>
        <w:trPr>
          <w:trHeight w:val="2632" w:hRule="atLeast"/>
          <w:jc w:val="center"/>
        </w:trPr>
        <w:tc>
          <w:tcPr>
            <w:tcW w:w="2287" w:type="dxa"/>
            <w:tcBorders>
              <w:top w:val="single" w:color="auto" w:sz="6" w:space="0"/>
              <w:left w:val="single" w:color="auto" w:sz="6" w:space="0"/>
              <w:bottom w:val="single" w:color="auto" w:sz="6" w:space="0"/>
              <w:right w:val="single" w:color="000000" w:sz="6" w:space="0"/>
            </w:tcBorders>
            <w:tcMar>
              <w:top w:w="0" w:type="dxa"/>
              <w:left w:w="105" w:type="dxa"/>
              <w:bottom w:w="0" w:type="dxa"/>
              <w:right w:w="105" w:type="dxa"/>
            </w:tcMar>
            <w:vAlign w:val="center"/>
          </w:tcPr>
          <w:p>
            <w:pPr>
              <w:pStyle w:val="2"/>
              <w:wordWrap w:val="0"/>
              <w:spacing w:before="0" w:beforeAutospacing="0" w:after="0" w:afterAutospacing="0"/>
              <w:jc w:val="center"/>
              <w:rPr>
                <w:kern w:val="2"/>
              </w:rPr>
            </w:pPr>
            <w:r>
              <w:rPr>
                <w:rFonts w:hint="eastAsia" w:ascii="仿宋" w:hAnsi="仿宋" w:eastAsia="仿宋"/>
                <w:color w:val="000000"/>
                <w:kern w:val="2"/>
                <w:sz w:val="27"/>
              </w:rPr>
              <w:t>项目介绍及申报理由</w:t>
            </w:r>
          </w:p>
        </w:tc>
        <w:tc>
          <w:tcPr>
            <w:tcW w:w="6278" w:type="dxa"/>
            <w:gridSpan w:val="4"/>
            <w:tcBorders>
              <w:top w:val="single" w:color="auto" w:sz="6" w:space="0"/>
              <w:left w:val="nil"/>
              <w:bottom w:val="single" w:color="auto" w:sz="6" w:space="0"/>
              <w:right w:val="single" w:color="000000" w:sz="6" w:space="0"/>
            </w:tcBorders>
            <w:tcMar>
              <w:top w:w="0" w:type="dxa"/>
              <w:left w:w="105" w:type="dxa"/>
              <w:bottom w:w="0" w:type="dxa"/>
              <w:right w:w="105" w:type="dxa"/>
            </w:tcMar>
            <w:vAlign w:val="center"/>
          </w:tcPr>
          <w:p>
            <w:pPr>
              <w:wordWrap w:val="0"/>
              <w:jc w:val="left"/>
            </w:pPr>
            <w:r>
              <w:rPr>
                <w:rFonts w:hint="eastAsia"/>
              </w:rPr>
              <w:t xml:space="preserve"> </w:t>
            </w:r>
          </w:p>
          <w:p>
            <w:pPr>
              <w:wordWrap w:val="0"/>
              <w:jc w:val="left"/>
            </w:pPr>
          </w:p>
          <w:p>
            <w:pPr>
              <w:wordWrap w:val="0"/>
              <w:jc w:val="left"/>
            </w:pPr>
          </w:p>
          <w:p>
            <w:pPr>
              <w:wordWrap w:val="0"/>
              <w:jc w:val="left"/>
            </w:pPr>
          </w:p>
          <w:p>
            <w:pPr>
              <w:wordWrap w:val="0"/>
              <w:jc w:val="left"/>
            </w:pPr>
          </w:p>
          <w:p>
            <w:pPr>
              <w:wordWrap w:val="0"/>
              <w:jc w:val="left"/>
            </w:pPr>
          </w:p>
        </w:tc>
      </w:tr>
      <w:tr>
        <w:tblPrEx>
          <w:tblLayout w:type="fixed"/>
          <w:tblCellMar>
            <w:top w:w="0" w:type="dxa"/>
            <w:left w:w="0" w:type="dxa"/>
            <w:bottom w:w="0" w:type="dxa"/>
            <w:right w:w="0" w:type="dxa"/>
          </w:tblCellMar>
        </w:tblPrEx>
        <w:trPr>
          <w:trHeight w:val="562" w:hRule="atLeast"/>
          <w:jc w:val="center"/>
        </w:trPr>
        <w:tc>
          <w:tcPr>
            <w:tcW w:w="8565" w:type="dxa"/>
            <w:gridSpan w:val="5"/>
            <w:tcBorders>
              <w:top w:val="nil"/>
              <w:left w:val="single" w:color="auto" w:sz="6" w:space="0"/>
              <w:bottom w:val="nil"/>
              <w:right w:val="single" w:color="000000" w:sz="6" w:space="0"/>
            </w:tcBorders>
            <w:tcMar>
              <w:top w:w="0" w:type="dxa"/>
              <w:left w:w="105" w:type="dxa"/>
              <w:bottom w:w="0" w:type="dxa"/>
              <w:right w:w="105" w:type="dxa"/>
            </w:tcMar>
            <w:vAlign w:val="center"/>
          </w:tcPr>
          <w:p>
            <w:pPr>
              <w:pStyle w:val="2"/>
              <w:wordWrap w:val="0"/>
              <w:spacing w:before="0" w:beforeAutospacing="0" w:after="0" w:afterAutospacing="0"/>
              <w:rPr>
                <w:rFonts w:ascii="仿宋" w:hAnsi="仿宋" w:eastAsia="仿宋"/>
                <w:color w:val="000000"/>
                <w:kern w:val="2"/>
                <w:sz w:val="27"/>
              </w:rPr>
            </w:pPr>
            <w:r>
              <w:rPr>
                <w:rFonts w:hint="eastAsia" w:ascii="仿宋" w:hAnsi="仿宋" w:eastAsia="仿宋"/>
                <w:color w:val="000000"/>
                <w:kern w:val="2"/>
                <w:sz w:val="27"/>
              </w:rPr>
              <w:t>本单位自愿参加本次评奖活动，提供的材料真实有效。</w:t>
            </w:r>
          </w:p>
          <w:p>
            <w:pPr>
              <w:pStyle w:val="2"/>
              <w:wordWrap w:val="0"/>
              <w:spacing w:before="0" w:beforeAutospacing="0" w:after="0" w:afterAutospacing="0"/>
              <w:ind w:firstLine="480"/>
              <w:rPr>
                <w:rFonts w:ascii="Times New Roman" w:hAnsi="Times New Roman"/>
                <w:kern w:val="2"/>
              </w:rPr>
            </w:pPr>
          </w:p>
        </w:tc>
      </w:tr>
      <w:tr>
        <w:tblPrEx>
          <w:tblLayout w:type="fixed"/>
          <w:tblCellMar>
            <w:top w:w="0" w:type="dxa"/>
            <w:left w:w="0" w:type="dxa"/>
            <w:bottom w:w="0" w:type="dxa"/>
            <w:right w:w="0" w:type="dxa"/>
          </w:tblCellMar>
        </w:tblPrEx>
        <w:trPr>
          <w:trHeight w:val="281" w:hRule="atLeast"/>
          <w:jc w:val="center"/>
        </w:trPr>
        <w:tc>
          <w:tcPr>
            <w:tcW w:w="8565" w:type="dxa"/>
            <w:gridSpan w:val="5"/>
            <w:tcBorders>
              <w:top w:val="nil"/>
              <w:left w:val="single" w:color="auto" w:sz="6" w:space="0"/>
              <w:bottom w:val="nil"/>
              <w:right w:val="single" w:color="000000" w:sz="6" w:space="0"/>
            </w:tcBorders>
            <w:tcMar>
              <w:top w:w="0" w:type="dxa"/>
              <w:left w:w="105" w:type="dxa"/>
              <w:bottom w:w="0" w:type="dxa"/>
              <w:right w:w="105" w:type="dxa"/>
            </w:tcMar>
            <w:vAlign w:val="center"/>
          </w:tcPr>
          <w:p>
            <w:pPr>
              <w:pStyle w:val="2"/>
              <w:wordWrap w:val="0"/>
              <w:spacing w:before="0" w:beforeAutospacing="0" w:after="0" w:afterAutospacing="0"/>
              <w:jc w:val="center"/>
              <w:rPr>
                <w:rFonts w:ascii="仿宋" w:hAnsi="仿宋" w:eastAsia="仿宋"/>
                <w:color w:val="000000"/>
                <w:kern w:val="2"/>
                <w:sz w:val="27"/>
              </w:rPr>
            </w:pPr>
            <w:r>
              <w:rPr>
                <w:rFonts w:ascii="Calibri" w:hAnsi="Calibri" w:eastAsia="仿宋" w:cs="Calibri"/>
                <w:color w:val="000000"/>
                <w:kern w:val="2"/>
                <w:sz w:val="27"/>
              </w:rPr>
              <w:t>             </w:t>
            </w:r>
            <w:r>
              <w:rPr>
                <w:rFonts w:hint="eastAsia" w:ascii="仿宋" w:hAnsi="仿宋" w:eastAsia="仿宋"/>
                <w:color w:val="000000"/>
                <w:kern w:val="2"/>
                <w:sz w:val="27"/>
              </w:rPr>
              <w:t>单位法人代表签字：</w:t>
            </w:r>
          </w:p>
          <w:p>
            <w:pPr>
              <w:pStyle w:val="2"/>
              <w:wordWrap w:val="0"/>
              <w:spacing w:before="0" w:beforeAutospacing="0" w:after="0" w:afterAutospacing="0"/>
              <w:jc w:val="center"/>
              <w:rPr>
                <w:rFonts w:ascii="Times New Roman" w:hAnsi="Times New Roman"/>
                <w:kern w:val="2"/>
              </w:rPr>
            </w:pPr>
            <w:r>
              <w:rPr>
                <w:rFonts w:hint="eastAsia" w:ascii="仿宋" w:hAnsi="仿宋" w:eastAsia="仿宋"/>
                <w:color w:val="000000"/>
                <w:kern w:val="2"/>
                <w:sz w:val="27"/>
              </w:rPr>
              <w:t xml:space="preserve">                               （公章）</w:t>
            </w:r>
          </w:p>
        </w:tc>
      </w:tr>
      <w:tr>
        <w:tblPrEx>
          <w:tblLayout w:type="fixed"/>
          <w:tblCellMar>
            <w:top w:w="0" w:type="dxa"/>
            <w:left w:w="0" w:type="dxa"/>
            <w:bottom w:w="0" w:type="dxa"/>
            <w:right w:w="0" w:type="dxa"/>
          </w:tblCellMar>
        </w:tblPrEx>
        <w:trPr>
          <w:trHeight w:val="994" w:hRule="atLeast"/>
          <w:jc w:val="center"/>
        </w:trPr>
        <w:tc>
          <w:tcPr>
            <w:tcW w:w="8565" w:type="dxa"/>
            <w:gridSpan w:val="5"/>
            <w:tcBorders>
              <w:top w:val="nil"/>
              <w:left w:val="single" w:color="auto" w:sz="6" w:space="0"/>
              <w:bottom w:val="single" w:color="auto" w:sz="6" w:space="0"/>
              <w:right w:val="single" w:color="000000" w:sz="6" w:space="0"/>
            </w:tcBorders>
            <w:tcMar>
              <w:top w:w="0" w:type="dxa"/>
              <w:left w:w="105" w:type="dxa"/>
              <w:bottom w:w="0" w:type="dxa"/>
              <w:right w:w="105" w:type="dxa"/>
            </w:tcMar>
            <w:vAlign w:val="center"/>
          </w:tcPr>
          <w:p>
            <w:pPr>
              <w:pStyle w:val="2"/>
              <w:wordWrap w:val="0"/>
              <w:spacing w:before="0" w:beforeAutospacing="0" w:after="0" w:afterAutospacing="0"/>
              <w:ind w:left="5400" w:hanging="5400" w:hangingChars="2000"/>
              <w:rPr>
                <w:kern w:val="2"/>
              </w:rPr>
            </w:pPr>
            <w:r>
              <w:rPr>
                <w:rFonts w:ascii="Calibri" w:hAnsi="Calibri" w:eastAsia="仿宋" w:cs="Calibri"/>
                <w:color w:val="000000"/>
                <w:kern w:val="2"/>
                <w:sz w:val="27"/>
              </w:rPr>
              <w:t>                 </w:t>
            </w:r>
            <w:r>
              <w:rPr>
                <w:rFonts w:hint="eastAsia" w:ascii="仿宋" w:hAnsi="仿宋" w:eastAsia="仿宋"/>
                <w:color w:val="000000"/>
                <w:kern w:val="2"/>
                <w:sz w:val="27"/>
              </w:rPr>
              <w:t xml:space="preserve">                                年</w:t>
            </w:r>
            <w:r>
              <w:rPr>
                <w:rFonts w:ascii="Calibri" w:hAnsi="Calibri" w:eastAsia="仿宋" w:cs="Calibri"/>
                <w:color w:val="000000"/>
                <w:kern w:val="2"/>
                <w:sz w:val="27"/>
              </w:rPr>
              <w:t>  </w:t>
            </w:r>
            <w:r>
              <w:rPr>
                <w:rFonts w:hint="eastAsia" w:ascii="仿宋" w:hAnsi="仿宋" w:eastAsia="仿宋"/>
                <w:color w:val="000000"/>
                <w:kern w:val="2"/>
                <w:sz w:val="27"/>
              </w:rPr>
              <w:t xml:space="preserve"> </w:t>
            </w:r>
            <w:r>
              <w:rPr>
                <w:rFonts w:ascii="Calibri" w:hAnsi="Calibri" w:eastAsia="仿宋" w:cs="Calibri"/>
                <w:color w:val="000000"/>
                <w:kern w:val="2"/>
                <w:sz w:val="27"/>
              </w:rPr>
              <w:t> </w:t>
            </w:r>
            <w:r>
              <w:rPr>
                <w:rFonts w:hint="eastAsia" w:ascii="仿宋" w:hAnsi="仿宋" w:eastAsia="仿宋"/>
                <w:color w:val="000000"/>
                <w:kern w:val="2"/>
                <w:sz w:val="27"/>
              </w:rPr>
              <w:t>月</w:t>
            </w:r>
            <w:r>
              <w:rPr>
                <w:rFonts w:ascii="Calibri" w:hAnsi="Calibri" w:eastAsia="仿宋" w:cs="Calibri"/>
                <w:color w:val="000000"/>
                <w:kern w:val="2"/>
                <w:sz w:val="27"/>
              </w:rPr>
              <w:t>  </w:t>
            </w:r>
            <w:r>
              <w:rPr>
                <w:rFonts w:hint="eastAsia" w:ascii="仿宋" w:hAnsi="仿宋" w:eastAsia="仿宋"/>
                <w:color w:val="000000"/>
                <w:kern w:val="2"/>
                <w:sz w:val="27"/>
              </w:rPr>
              <w:t xml:space="preserve"> 日</w:t>
            </w:r>
          </w:p>
        </w:tc>
      </w:tr>
    </w:tbl>
    <w:p>
      <w:pPr>
        <w:rPr>
          <w:rFonts w:hint="eastAsia" w:ascii="华文仿宋" w:hAnsi="华文仿宋" w:eastAsia="华文仿宋"/>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537397"/>
    <w:multiLevelType w:val="singleLevel"/>
    <w:tmpl w:val="D453739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27"/>
    <w:rsid w:val="000770D7"/>
    <w:rsid w:val="00140441"/>
    <w:rsid w:val="0017193C"/>
    <w:rsid w:val="001C6D2A"/>
    <w:rsid w:val="00224E39"/>
    <w:rsid w:val="002373C9"/>
    <w:rsid w:val="002F3178"/>
    <w:rsid w:val="00422641"/>
    <w:rsid w:val="00450BC4"/>
    <w:rsid w:val="00482FE0"/>
    <w:rsid w:val="004938AE"/>
    <w:rsid w:val="004974EF"/>
    <w:rsid w:val="00567B80"/>
    <w:rsid w:val="00674077"/>
    <w:rsid w:val="006A21B6"/>
    <w:rsid w:val="007B0085"/>
    <w:rsid w:val="00826C88"/>
    <w:rsid w:val="00832A0B"/>
    <w:rsid w:val="0087537C"/>
    <w:rsid w:val="0096216A"/>
    <w:rsid w:val="00962BE5"/>
    <w:rsid w:val="009971A6"/>
    <w:rsid w:val="00D265A8"/>
    <w:rsid w:val="00D64BEC"/>
    <w:rsid w:val="00DD280E"/>
    <w:rsid w:val="00E22405"/>
    <w:rsid w:val="00E962A4"/>
    <w:rsid w:val="00EF2598"/>
    <w:rsid w:val="00EF7727"/>
    <w:rsid w:val="00F334FF"/>
    <w:rsid w:val="00F61DA9"/>
    <w:rsid w:val="00F74515"/>
    <w:rsid w:val="13C748DB"/>
    <w:rsid w:val="1F716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280</Words>
  <Characters>1598</Characters>
  <Lines>13</Lines>
  <Paragraphs>3</Paragraphs>
  <TotalTime>1139</TotalTime>
  <ScaleCrop>false</ScaleCrop>
  <LinksUpToDate>false</LinksUpToDate>
  <CharactersWithSpaces>1875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2023-12-21T03:15:00Z</dcterms:created>
  <dc:creator>江苏省洪泽湖渔业协会</dc:creator>
  <cp:lastModifiedBy>美湖圣境</cp:lastModifiedBy>
  <dcterms:modified xsi:type="dcterms:W3CDTF">2023-12-26T01:36:22Z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